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220" w:lineRule="exact" w:before="0" w:after="34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0.0" w:type="dxa"/>
      </w:tblPr>
      <w:tblGrid>
        <w:gridCol w:w="4865"/>
        <w:gridCol w:w="4865"/>
      </w:tblGrid>
      <w:tr>
        <w:trPr>
          <w:trHeight w:hRule="exact" w:val="1366"/>
        </w:trPr>
        <w:tc>
          <w:tcPr>
            <w:tcW w:type="dxa" w:w="1564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auto" w:before="30" w:after="0"/>
              <w:ind w:left="0" w:right="0" w:firstLine="0"/>
              <w:jc w:val="left"/>
            </w:pPr>
            <w:r>
              <w:drawing>
                <wp:inline xmlns:a="http://schemas.openxmlformats.org/drawingml/2006/main" xmlns:pic="http://schemas.openxmlformats.org/drawingml/2006/picture">
                  <wp:extent cx="727710" cy="6985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7710" cy="6985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66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1750" w:val="left"/>
              </w:tabs>
              <w:autoSpaceDE w:val="0"/>
              <w:widowControl/>
              <w:spacing w:line="356" w:lineRule="exact" w:before="30" w:after="0"/>
              <w:ind w:left="628" w:right="1440" w:firstLine="0"/>
              <w:jc w:val="left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28"/>
              </w:rPr>
              <w:t xml:space="preserve"> Câmara Municipal de Vereadores </w:t>
            </w:r>
            <w:r>
              <w:rPr>
                <w:rFonts w:ascii="Times New Roman,Bold" w:hAnsi="Times New Roman,Bold" w:eastAsia="Times New Roman,Bold"/>
                <w:b/>
                <w:i w:val="0"/>
                <w:color w:val="000000"/>
                <w:sz w:val="28"/>
              </w:rPr>
              <w:t>Santa Maria - RS</w:t>
            </w:r>
          </w:p>
          <w:p>
            <w:pPr>
              <w:autoSpaceDN w:val="0"/>
              <w:autoSpaceDE w:val="0"/>
              <w:widowControl/>
              <w:spacing w:line="276" w:lineRule="exact" w:before="288" w:after="0"/>
              <w:ind w:left="454" w:right="0" w:firstLine="0"/>
              <w:jc w:val="left"/>
            </w:pPr>
            <w:r>
              <w:rPr>
                <w:rFonts w:ascii="Arial,BoldItalic" w:hAnsi="Arial,BoldItalic" w:eastAsia="Arial,BoldItalic"/>
                <w:b/>
                <w:i/>
                <w:color w:val="000000"/>
                <w:sz w:val="20"/>
              </w:rPr>
              <w:t>RELATÓRIO CONFORME RESOLUÇÃO Nº 008/93</w:t>
            </w:r>
          </w:p>
        </w:tc>
      </w:tr>
    </w:tbl>
    <w:p>
      <w:pPr>
        <w:autoSpaceDN w:val="0"/>
        <w:tabs>
          <w:tab w:pos="7004" w:val="left"/>
          <w:tab w:pos="7760" w:val="left"/>
        </w:tabs>
        <w:autoSpaceDE w:val="0"/>
        <w:widowControl/>
        <w:spacing w:line="548" w:lineRule="exact" w:before="0" w:after="0"/>
        <w:ind w:left="48" w:right="1008" w:firstLine="0"/>
        <w:jc w:val="left"/>
      </w:pPr>
      <w:r>
        <w:tab/>
      </w:r>
      <w:r>
        <w:rPr>
          <w:rFonts w:ascii="Arial,BoldItalic" w:hAnsi="Arial,BoldItalic" w:eastAsia="Arial,BoldItalic"/>
          <w:b/>
          <w:i/>
          <w:color w:val="000000"/>
          <w:sz w:val="20"/>
        </w:rPr>
        <w:t>SETEMBRO/2022</w:t>
      </w:r>
      <w:r>
        <w:rPr>
          <w:rFonts w:ascii="Calibri" w:hAnsi="Calibri" w:eastAsia="Calibri"/>
          <w:b w:val="0"/>
          <w:i w:val="0"/>
          <w:color w:val="000000"/>
          <w:sz w:val="22"/>
        </w:rPr>
        <w:t xml:space="preserve">- Maior Remuneração de Servidor Ativo </w:t>
      </w:r>
      <w:r>
        <w:tab/>
      </w:r>
      <w:r>
        <w:tab/>
      </w:r>
      <w:r>
        <w:rPr>
          <w:rFonts w:ascii="Calibri" w:hAnsi="Calibri" w:eastAsia="Calibri"/>
          <w:b w:val="0"/>
          <w:i w:val="0"/>
          <w:color w:val="000000"/>
          <w:sz w:val="22"/>
        </w:rPr>
        <w:t>21.495,98</w:t>
      </w:r>
    </w:p>
    <w:p>
      <w:pPr>
        <w:autoSpaceDN w:val="0"/>
        <w:tabs>
          <w:tab w:pos="7872" w:val="left"/>
        </w:tabs>
        <w:autoSpaceDE w:val="0"/>
        <w:widowControl/>
        <w:spacing w:line="197" w:lineRule="auto" w:before="360" w:after="0"/>
        <w:ind w:left="48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 xml:space="preserve">- Menor Remuneração de Servidor Ativo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2"/>
        </w:rPr>
        <w:t>2.871,31</w:t>
      </w:r>
    </w:p>
    <w:p>
      <w:pPr>
        <w:autoSpaceDN w:val="0"/>
        <w:tabs>
          <w:tab w:pos="7760" w:val="left"/>
        </w:tabs>
        <w:autoSpaceDE w:val="0"/>
        <w:widowControl/>
        <w:spacing w:line="197" w:lineRule="auto" w:before="360" w:after="0"/>
        <w:ind w:left="48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 xml:space="preserve">- Subsídios de Vereadores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2"/>
        </w:rPr>
        <w:t>11.333,58</w:t>
      </w:r>
    </w:p>
    <w:p>
      <w:pPr>
        <w:autoSpaceDN w:val="0"/>
        <w:tabs>
          <w:tab w:pos="7478" w:val="left"/>
        </w:tabs>
        <w:autoSpaceDE w:val="0"/>
        <w:widowControl/>
        <w:spacing w:line="197" w:lineRule="auto" w:before="360" w:after="0"/>
        <w:ind w:left="48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 xml:space="preserve">- Montante repassado pelo Executivo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2"/>
        </w:rPr>
        <w:t>1.944.468,51</w:t>
      </w:r>
    </w:p>
    <w:p>
      <w:pPr>
        <w:autoSpaceDN w:val="0"/>
        <w:tabs>
          <w:tab w:pos="7872" w:val="left"/>
        </w:tabs>
        <w:autoSpaceDE w:val="0"/>
        <w:widowControl/>
        <w:spacing w:line="197" w:lineRule="auto" w:before="360" w:after="0"/>
        <w:ind w:left="48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 xml:space="preserve">- Diárias pagas a Vereadores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2"/>
        </w:rPr>
        <w:t>1.781,50</w:t>
      </w:r>
    </w:p>
    <w:p>
      <w:pPr>
        <w:autoSpaceDN w:val="0"/>
        <w:tabs>
          <w:tab w:pos="8266" w:val="left"/>
        </w:tabs>
        <w:autoSpaceDE w:val="0"/>
        <w:widowControl/>
        <w:spacing w:line="197" w:lineRule="auto" w:before="360" w:after="0"/>
        <w:ind w:left="48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 xml:space="preserve">- Passagens pagas a Vereadores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2"/>
        </w:rPr>
        <w:t>0,00</w:t>
      </w:r>
    </w:p>
    <w:p>
      <w:pPr>
        <w:autoSpaceDN w:val="0"/>
        <w:tabs>
          <w:tab w:pos="7872" w:val="left"/>
        </w:tabs>
        <w:autoSpaceDE w:val="0"/>
        <w:widowControl/>
        <w:spacing w:line="197" w:lineRule="auto" w:before="360" w:after="0"/>
        <w:ind w:left="48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 xml:space="preserve">- Diárias pagas a Servidores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2"/>
        </w:rPr>
        <w:t>2.812,50</w:t>
      </w:r>
    </w:p>
    <w:p>
      <w:pPr>
        <w:autoSpaceDN w:val="0"/>
        <w:tabs>
          <w:tab w:pos="8040" w:val="left"/>
        </w:tabs>
        <w:autoSpaceDE w:val="0"/>
        <w:widowControl/>
        <w:spacing w:line="197" w:lineRule="auto" w:before="360" w:after="0"/>
        <w:ind w:left="48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 xml:space="preserve">- Passagens pagas a Servidores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2"/>
        </w:rPr>
        <w:t>217,12</w:t>
      </w:r>
    </w:p>
    <w:p>
      <w:pPr>
        <w:autoSpaceDN w:val="0"/>
        <w:tabs>
          <w:tab w:pos="8040" w:val="left"/>
        </w:tabs>
        <w:autoSpaceDE w:val="0"/>
        <w:widowControl/>
        <w:spacing w:line="197" w:lineRule="auto" w:before="360" w:after="0"/>
        <w:ind w:left="48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 xml:space="preserve">- Diárias pagas a Motoristas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2"/>
        </w:rPr>
        <w:t>937,50</w:t>
      </w:r>
    </w:p>
    <w:p>
      <w:pPr>
        <w:autoSpaceDN w:val="0"/>
        <w:tabs>
          <w:tab w:pos="8266" w:val="left"/>
        </w:tabs>
        <w:autoSpaceDE w:val="0"/>
        <w:widowControl/>
        <w:spacing w:line="197" w:lineRule="auto" w:before="360" w:after="0"/>
        <w:ind w:left="48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 xml:space="preserve">- Publicações Legais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2"/>
        </w:rPr>
        <w:t>0,00</w:t>
      </w:r>
    </w:p>
    <w:p>
      <w:pPr>
        <w:autoSpaceDN w:val="0"/>
        <w:autoSpaceDE w:val="0"/>
        <w:widowControl/>
        <w:spacing w:line="197" w:lineRule="auto" w:before="650" w:after="0"/>
        <w:ind w:left="48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>Obs.: Divulgação sempre junto ao mural de avisos desta Casa Legislativa.</w:t>
      </w:r>
    </w:p>
    <w:p>
      <w:pPr>
        <w:autoSpaceDN w:val="0"/>
        <w:tabs>
          <w:tab w:pos="5496" w:val="left"/>
        </w:tabs>
        <w:autoSpaceDE w:val="0"/>
        <w:widowControl/>
        <w:spacing w:line="197" w:lineRule="auto" w:before="940" w:after="0"/>
        <w:ind w:left="1230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 xml:space="preserve">PATRÍCIA GUERRA TURCHETTI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2"/>
        </w:rPr>
        <w:t>NELIS T. PACHECO DOS SANTOS</w:t>
      </w:r>
    </w:p>
    <w:p>
      <w:pPr>
        <w:autoSpaceDN w:val="0"/>
        <w:tabs>
          <w:tab w:pos="5394" w:val="left"/>
        </w:tabs>
        <w:autoSpaceDE w:val="0"/>
        <w:widowControl/>
        <w:spacing w:line="197" w:lineRule="auto" w:before="70" w:after="0"/>
        <w:ind w:left="2094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 xml:space="preserve">Tesoureira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2"/>
        </w:rPr>
        <w:t xml:space="preserve">Técnica Legislativa- Área Contábil </w:t>
      </w:r>
    </w:p>
    <w:sectPr w:rsidR="00FC693F" w:rsidRPr="0006063C" w:rsidSect="00034616">
      <w:pgSz w:w="11906" w:h="16838"/>
      <w:pgMar w:top="558" w:right="1440" w:bottom="1440" w:left="736" w:header="720" w:footer="720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