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78"/>
        <w:ind w:left="0" w:right="0"/>
      </w:pPr>
    </w:p>
    <w:p>
      <w:pPr>
        <w:autoSpaceDN w:val="0"/>
        <w:autoSpaceDE w:val="0"/>
        <w:widowControl/>
        <w:spacing w:line="194" w:lineRule="auto" w:before="0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000000"/>
          <w:sz w:val="19"/>
        </w:rPr>
        <w:t>CÂMARA MUNICIPAL DE VEREADORES DE SANTA MARIA</w:t>
      </w:r>
    </w:p>
    <w:p>
      <w:pPr>
        <w:autoSpaceDN w:val="0"/>
        <w:autoSpaceDE w:val="0"/>
        <w:widowControl/>
        <w:spacing w:line="197" w:lineRule="auto" w:before="310" w:after="264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000000"/>
          <w:sz w:val="19"/>
        </w:rPr>
        <w:t>D I Á R I A 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524"/>
        <w:gridCol w:w="1524"/>
        <w:gridCol w:w="1524"/>
        <w:gridCol w:w="1524"/>
        <w:gridCol w:w="1524"/>
        <w:gridCol w:w="1524"/>
        <w:gridCol w:w="1524"/>
        <w:gridCol w:w="1524"/>
        <w:gridCol w:w="1524"/>
        <w:gridCol w:w="1524"/>
      </w:tblGrid>
      <w:tr>
        <w:trPr>
          <w:trHeight w:hRule="exact" w:val="330"/>
        </w:trPr>
        <w:tc>
          <w:tcPr>
            <w:tcW w:type="dxa" w:w="1468"/>
            <w:vMerge w:val="restart"/>
            <w:tcBorders>
              <w:end w:sz="7.199999999999932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054"/>
            <w:gridSpan w:val="2"/>
            <w:tcBorders>
              <w:start w:sz="7.199999999999932" w:val="single" w:color="#000000"/>
              <w:top w:sz="6.400000000000091" w:val="single" w:color="#000000"/>
              <w:end w:sz="6.39999999999963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PORTO ALEGRE</w:t>
            </w:r>
          </w:p>
        </w:tc>
        <w:tc>
          <w:tcPr>
            <w:tcW w:type="dxa" w:w="3052"/>
            <w:gridSpan w:val="2"/>
            <w:tcBorders>
              <w:start w:sz="6.399999999999636" w:val="single" w:color="#000000"/>
              <w:top w:sz="6.400000000000091" w:val="single" w:color="#000000"/>
              <w:end w:sz="7.200000000000273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OUTRAS CIDADES DO RS</w:t>
            </w:r>
          </w:p>
        </w:tc>
        <w:tc>
          <w:tcPr>
            <w:tcW w:type="dxa" w:w="3054"/>
            <w:gridSpan w:val="2"/>
            <w:tcBorders>
              <w:start w:sz="7.200000000000273" w:val="single" w:color="#000000"/>
              <w:top w:sz="6.400000000000091" w:val="single" w:color="#000000"/>
              <w:end w:sz="6.40000000000054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FORA DO ESTADO</w:t>
            </w:r>
          </w:p>
        </w:tc>
        <w:tc>
          <w:tcPr>
            <w:tcW w:type="dxa" w:w="3054"/>
            <w:gridSpan w:val="2"/>
            <w:tcBorders>
              <w:start w:sz="6.400000000000546" w:val="single" w:color="#000000"/>
              <w:top w:sz="6.400000000000091" w:val="single" w:color="#000000"/>
              <w:end w:sz="6.39999999999963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CONTÍGUAS</w:t>
            </w:r>
          </w:p>
        </w:tc>
        <w:tc>
          <w:tcPr>
            <w:tcW w:type="dxa" w:w="1526"/>
            <w:tcBorders>
              <w:start w:sz="6.399999999999636" w:val="single" w:color="#000000"/>
              <w:top w:sz="6.400000000000091" w:val="single" w:color="#000000"/>
              <w:end w:sz="6.40000000000054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20" w:after="0"/>
              <w:ind w:left="2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DISTRITOS</w:t>
            </w:r>
          </w:p>
        </w:tc>
      </w:tr>
      <w:tr>
        <w:trPr>
          <w:trHeight w:hRule="exact" w:val="332"/>
        </w:trPr>
        <w:tc>
          <w:tcPr>
            <w:tcW w:type="dxa" w:w="1524"/>
            <w:vMerge/>
            <w:tcBorders>
              <w:end w:sz="7.199999999999932" w:val="single" w:color="#000000"/>
              <w:bottom w:sz="6.400000000000091" w:val="single" w:color="#000000"/>
            </w:tcBorders>
          </w:tcPr>
          <w:p/>
        </w:tc>
        <w:tc>
          <w:tcPr>
            <w:tcW w:type="dxa" w:w="1526"/>
            <w:tcBorders>
              <w:start w:sz="7.199999999999932" w:val="single" w:color="#000000"/>
              <w:top w:sz="7.2000000000000455" w:val="single" w:color="#000000"/>
              <w:end w:sz="7.2000000000000455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Inteira</w:t>
            </w:r>
          </w:p>
        </w:tc>
        <w:tc>
          <w:tcPr>
            <w:tcW w:type="dxa" w:w="1528"/>
            <w:tcBorders>
              <w:start w:sz="7.2000000000000455" w:val="single" w:color="#000000"/>
              <w:top w:sz="7.2000000000000455" w:val="single" w:color="#000000"/>
              <w:end w:sz="6.39999999999963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Meia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091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Inteira</w:t>
            </w:r>
          </w:p>
        </w:tc>
        <w:tc>
          <w:tcPr>
            <w:tcW w:type="dxa" w:w="1526"/>
            <w:tcBorders>
              <w:start w:sz="6.400000000000091" w:val="single" w:color="#000000"/>
              <w:top w:sz="7.2000000000000455" w:val="single" w:color="#000000"/>
              <w:end w:sz="7.200000000000273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Meia</w:t>
            </w:r>
          </w:p>
        </w:tc>
        <w:tc>
          <w:tcPr>
            <w:tcW w:type="dxa" w:w="1528"/>
            <w:tcBorders>
              <w:start w:sz="7.200000000000273" w:val="single" w:color="#000000"/>
              <w:top w:sz="7.2000000000000455" w:val="single" w:color="#000000"/>
              <w:end w:sz="6.39999999999963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Inteira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54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Meia</w:t>
            </w:r>
          </w:p>
        </w:tc>
        <w:tc>
          <w:tcPr>
            <w:tcW w:type="dxa" w:w="1528"/>
            <w:tcBorders>
              <w:start w:sz="6.400000000000546" w:val="single" w:color="#000000"/>
              <w:top w:sz="7.2000000000000455" w:val="single" w:color="#000000"/>
              <w:end w:sz="7.199999999999818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Inteira</w:t>
            </w:r>
          </w:p>
        </w:tc>
        <w:tc>
          <w:tcPr>
            <w:tcW w:type="dxa" w:w="1526"/>
            <w:tcBorders>
              <w:start w:sz="7.199999999999818" w:val="single" w:color="#000000"/>
              <w:top w:sz="7.2000000000000455" w:val="single" w:color="#000000"/>
              <w:end w:sz="6.39999999999963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Meia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546" w:val="single" w:color="#000000"/>
              <w:bottom w:sz="6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10%</w:t>
            </w:r>
          </w:p>
        </w:tc>
      </w:tr>
      <w:tr>
        <w:trPr>
          <w:trHeight w:hRule="exact" w:val="330"/>
        </w:trPr>
        <w:tc>
          <w:tcPr>
            <w:tcW w:type="dxa" w:w="1468"/>
            <w:tcBorders>
              <w:start w:sz="6.399999999999977" w:val="single" w:color="#000000"/>
              <w:top w:sz="6.400000000000091" w:val="single" w:color="#000000"/>
              <w:end w:sz="7.199999999999932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06" w:after="0"/>
              <w:ind w:left="2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VEREADORES</w:t>
            </w:r>
          </w:p>
        </w:tc>
        <w:tc>
          <w:tcPr>
            <w:tcW w:type="dxa" w:w="1526"/>
            <w:tcBorders>
              <w:start w:sz="7.199999999999932" w:val="single" w:color="#000000"/>
              <w:top w:sz="6.400000000000091" w:val="single" w:color="#000000"/>
              <w:end w:sz="7.2000000000000455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28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356,30</w:t>
            </w:r>
          </w:p>
        </w:tc>
        <w:tc>
          <w:tcPr>
            <w:tcW w:type="dxa" w:w="1528"/>
            <w:tcBorders>
              <w:start w:sz="7.2000000000000455" w:val="single" w:color="#000000"/>
              <w:top w:sz="6.400000000000091" w:val="single" w:color="#000000"/>
              <w:end w:sz="6.39999999999963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178,15</w:t>
            </w:r>
          </w:p>
        </w:tc>
        <w:tc>
          <w:tcPr>
            <w:tcW w:type="dxa" w:w="1526"/>
            <w:tcBorders>
              <w:start w:sz="6.399999999999636" w:val="single" w:color="#000000"/>
              <w:top w:sz="6.400000000000091" w:val="single" w:color="#000000"/>
              <w:end w:sz="6.400000000000091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356,30</w:t>
            </w:r>
          </w:p>
        </w:tc>
        <w:tc>
          <w:tcPr>
            <w:tcW w:type="dxa" w:w="1526"/>
            <w:tcBorders>
              <w:start w:sz="6.400000000000091" w:val="single" w:color="#000000"/>
              <w:top w:sz="6.400000000000091" w:val="single" w:color="#000000"/>
              <w:end w:sz="7.200000000000273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28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178,15</w:t>
            </w:r>
          </w:p>
        </w:tc>
        <w:tc>
          <w:tcPr>
            <w:tcW w:type="dxa" w:w="1528"/>
            <w:tcBorders>
              <w:start w:sz="7.200000000000273" w:val="single" w:color="#000000"/>
              <w:top w:sz="6.400000000000091" w:val="single" w:color="#000000"/>
              <w:end w:sz="6.39999999999963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534,00</w:t>
            </w:r>
          </w:p>
        </w:tc>
        <w:tc>
          <w:tcPr>
            <w:tcW w:type="dxa" w:w="1526"/>
            <w:tcBorders>
              <w:start w:sz="6.399999999999636" w:val="single" w:color="#000000"/>
              <w:top w:sz="6.400000000000091" w:val="single" w:color="#000000"/>
              <w:end w:sz="6.40000000000054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267,00</w:t>
            </w:r>
          </w:p>
        </w:tc>
        <w:tc>
          <w:tcPr>
            <w:tcW w:type="dxa" w:w="1528"/>
            <w:tcBorders>
              <w:start w:sz="6.400000000000546" w:val="single" w:color="#000000"/>
              <w:top w:sz="6.400000000000091" w:val="single" w:color="#000000"/>
              <w:end w:sz="7.199999999999818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178,15</w:t>
            </w:r>
          </w:p>
        </w:tc>
        <w:tc>
          <w:tcPr>
            <w:tcW w:type="dxa" w:w="1526"/>
            <w:tcBorders>
              <w:start w:sz="7.199999999999818" w:val="single" w:color="#000000"/>
              <w:top w:sz="6.400000000000091" w:val="single" w:color="#000000"/>
              <w:end w:sz="6.39999999999963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89,08</w:t>
            </w:r>
          </w:p>
        </w:tc>
        <w:tc>
          <w:tcPr>
            <w:tcW w:type="dxa" w:w="1526"/>
            <w:tcBorders>
              <w:start w:sz="6.399999999999636" w:val="single" w:color="#000000"/>
              <w:top w:sz="6.400000000000091" w:val="single" w:color="#000000"/>
              <w:end w:sz="6.400000000000546" w:val="single" w:color="#000000"/>
              <w:bottom w:sz="7.200000000000045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4"/>
        </w:trPr>
        <w:tc>
          <w:tcPr>
            <w:tcW w:type="dxa" w:w="1468"/>
            <w:tcBorders>
              <w:start w:sz="6.399999999999977" w:val="single" w:color="#000000"/>
              <w:top w:sz="7.2000000000000455" w:val="single" w:color="#000000"/>
              <w:end w:sz="7.199999999999932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106" w:after="0"/>
              <w:ind w:left="2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9"/>
              </w:rPr>
              <w:t>SERVIDORES</w:t>
            </w:r>
          </w:p>
        </w:tc>
        <w:tc>
          <w:tcPr>
            <w:tcW w:type="dxa" w:w="1526"/>
            <w:tcBorders>
              <w:start w:sz="7.199999999999932" w:val="single" w:color="#000000"/>
              <w:top w:sz="7.2000000000000455" w:val="single" w:color="#000000"/>
              <w:end w:sz="7.2000000000000455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28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375,00</w:t>
            </w:r>
          </w:p>
        </w:tc>
        <w:tc>
          <w:tcPr>
            <w:tcW w:type="dxa" w:w="1528"/>
            <w:tcBorders>
              <w:start w:sz="7.2000000000000455" w:val="single" w:color="#000000"/>
              <w:top w:sz="7.2000000000000455" w:val="single" w:color="#000000"/>
              <w:end w:sz="6.399999999999636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187,50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091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250,00</w:t>
            </w:r>
          </w:p>
        </w:tc>
        <w:tc>
          <w:tcPr>
            <w:tcW w:type="dxa" w:w="1526"/>
            <w:tcBorders>
              <w:start w:sz="6.400000000000091" w:val="single" w:color="#000000"/>
              <w:top w:sz="7.2000000000000455" w:val="single" w:color="#000000"/>
              <w:end w:sz="7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28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125,00</w:t>
            </w:r>
          </w:p>
        </w:tc>
        <w:tc>
          <w:tcPr>
            <w:tcW w:type="dxa" w:w="1528"/>
            <w:tcBorders>
              <w:start w:sz="7.200000000000273" w:val="single" w:color="#000000"/>
              <w:top w:sz="7.2000000000000455" w:val="single" w:color="#000000"/>
              <w:end w:sz="6.399999999999636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625,00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546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0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312,50</w:t>
            </w:r>
          </w:p>
        </w:tc>
        <w:tc>
          <w:tcPr>
            <w:tcW w:type="dxa" w:w="1528"/>
            <w:tcBorders>
              <w:start w:sz="6.400000000000546" w:val="single" w:color="#000000"/>
              <w:top w:sz="7.2000000000000455" w:val="single" w:color="#000000"/>
              <w:end w:sz="7.199999999999818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125,00</w:t>
            </w:r>
          </w:p>
        </w:tc>
        <w:tc>
          <w:tcPr>
            <w:tcW w:type="dxa" w:w="1526"/>
            <w:tcBorders>
              <w:start w:sz="7.199999999999818" w:val="single" w:color="#000000"/>
              <w:top w:sz="7.2000000000000455" w:val="single" w:color="#000000"/>
              <w:end w:sz="6.399999999999636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80" w:after="0"/>
              <w:ind w:left="0" w:right="32" w:firstLine="0"/>
              <w:jc w:val="right"/>
            </w:pPr>
            <w:r>
              <w:rPr>
                <w:w w:val="101.45454406738281"/>
                <w:rFonts w:ascii="Calibri" w:hAnsi="Calibri" w:eastAsia="Calibri"/>
                <w:b w:val="0"/>
                <w:i w:val="0"/>
                <w:color w:val="000000"/>
                <w:sz w:val="22"/>
              </w:rPr>
              <w:t>62,50</w:t>
            </w:r>
          </w:p>
        </w:tc>
        <w:tc>
          <w:tcPr>
            <w:tcW w:type="dxa" w:w="1526"/>
            <w:tcBorders>
              <w:start w:sz="6.399999999999636" w:val="single" w:color="#000000"/>
              <w:top w:sz="7.2000000000000455" w:val="single" w:color="#000000"/>
              <w:end w:sz="6.400000000000546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97" w:lineRule="auto" w:before="794" w:after="0"/>
        <w:ind w:left="4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9"/>
        </w:rPr>
        <w:t>Base Legal:</w:t>
      </w:r>
    </w:p>
    <w:p>
      <w:pPr>
        <w:autoSpaceDN w:val="0"/>
        <w:autoSpaceDE w:val="0"/>
        <w:widowControl/>
        <w:spacing w:line="194" w:lineRule="auto" w:before="310" w:after="0"/>
        <w:ind w:left="4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9"/>
        </w:rPr>
        <w:t>Lei  Municipal nº 6205 de 08/01/2018 (valores diárias servidores)</w:t>
      </w:r>
    </w:p>
    <w:p>
      <w:pPr>
        <w:autoSpaceDN w:val="0"/>
        <w:autoSpaceDE w:val="0"/>
        <w:widowControl/>
        <w:spacing w:line="197" w:lineRule="auto" w:before="60" w:after="0"/>
        <w:ind w:left="4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9"/>
        </w:rPr>
        <w:t>Lei Municipal nº 5988 de 10/06/2015 (valores diárias vereadores)</w:t>
      </w:r>
    </w:p>
    <w:sectPr w:rsidR="00FC693F" w:rsidRPr="0006063C" w:rsidSect="00034616">
      <w:pgSz w:w="16838" w:h="11906"/>
      <w:pgMar w:top="600" w:right="854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