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6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95.99999999999994" w:type="dxa"/>
      </w:tblPr>
      <w:tblGrid>
        <w:gridCol w:w="4834"/>
        <w:gridCol w:w="4834"/>
      </w:tblGrid>
      <w:tr>
        <w:trPr>
          <w:trHeight w:hRule="exact" w:val="1096"/>
        </w:trPr>
        <w:tc>
          <w:tcPr>
            <w:tcW w:type="dxa" w:w="1784"/>
            <w:tcBorders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14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596900" cy="61849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84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448"/>
            <w:tcBorders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418" w:after="0"/>
              <w:ind w:left="576" w:right="2304" w:firstLine="0"/>
              <w:jc w:val="center"/>
            </w:pPr>
            <w:r>
              <w:rPr>
                <w:w w:val="98.82857004801431"/>
                <w:rFonts w:ascii="CenturyGothic" w:hAnsi="CenturyGothic" w:eastAsia="CenturyGothic"/>
                <w:b/>
                <w:i w:val="0"/>
                <w:color w:val="000000"/>
                <w:sz w:val="21"/>
              </w:rPr>
              <w:t xml:space="preserve">CÂMARA MUNICIPAL DE VEREADORES </w:t>
            </w:r>
            <w:r>
              <w:br/>
            </w:r>
            <w:r>
              <w:rPr>
                <w:w w:val="98.82857004801431"/>
                <w:rFonts w:ascii="CenturyGothic" w:hAnsi="CenturyGothic" w:eastAsia="CenturyGothic"/>
                <w:b/>
                <w:i w:val="0"/>
                <w:color w:val="000000"/>
                <w:sz w:val="21"/>
              </w:rPr>
              <w:t xml:space="preserve">Centro Democrático Adelmo Simas genro </w:t>
            </w:r>
            <w:r>
              <w:rPr>
                <w:rFonts w:ascii="CenturyGothic" w:hAnsi="CenturyGothic" w:eastAsia="CenturyGothic"/>
                <w:b w:val="0"/>
                <w:i w:val="0"/>
                <w:color w:val="000000"/>
                <w:sz w:val="17"/>
              </w:rPr>
              <w:t>SANTA MARIA - RS</w:t>
            </w:r>
          </w:p>
        </w:tc>
      </w:tr>
    </w:tbl>
    <w:p>
      <w:pPr>
        <w:autoSpaceDN w:val="0"/>
        <w:tabs>
          <w:tab w:pos="1752" w:val="left"/>
          <w:tab w:pos="2002" w:val="left"/>
          <w:tab w:pos="2180" w:val="left"/>
          <w:tab w:pos="2770" w:val="left"/>
          <w:tab w:pos="3058" w:val="left"/>
          <w:tab w:pos="3134" w:val="left"/>
          <w:tab w:pos="3600" w:val="left"/>
        </w:tabs>
        <w:autoSpaceDE w:val="0"/>
        <w:widowControl/>
        <w:spacing w:line="260" w:lineRule="exact" w:before="450" w:after="0"/>
        <w:ind w:left="144" w:right="1584" w:firstLine="0"/>
        <w:jc w:val="left"/>
      </w:pPr>
      <w:r>
        <w:tab/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 MUNICÍPIO DE SANTA MARIA - PODER LEGISLATIVO </w:t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CÂMARA MUNICIPAL DE VEREADORES DE SANTA MARIA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CNPJ 89.250.708/0001-04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RELATÓRIO DE GESTÃO FISCAL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w w:val="98.08695419974948"/>
          <w:rFonts w:ascii="TimesNewRomanPS" w:hAnsi="TimesNewRomanPS" w:eastAsia="TimesNewRomanPS"/>
          <w:b/>
          <w:i w:val="0"/>
          <w:color w:val="000000"/>
          <w:sz w:val="23"/>
        </w:rPr>
        <w:t xml:space="preserve">DEMONSTRATIVO DOS LIMITES </w:t>
      </w:r>
      <w:r>
        <w:br/>
      </w:r>
      <w:r>
        <w:tab/>
      </w:r>
      <w:r>
        <w:tab/>
      </w:r>
      <w:r>
        <w:tab/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ORÇAMENTOS FISCAL E DA SEGURIDADE SOCIAL </w:t>
      </w:r>
      <w:r>
        <w:tab/>
      </w:r>
      <w:r>
        <w:tab/>
      </w:r>
      <w:r>
        <w:tab/>
      </w:r>
      <w:r>
        <w:tab/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PERÍODO: JANEIRO A DEZEMBRO/ 2009 </w:t>
      </w:r>
      <w:r>
        <w:br/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LRF, art 48 – Anexo VII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3223"/>
        <w:gridCol w:w="3223"/>
        <w:gridCol w:w="3223"/>
      </w:tblGrid>
      <w:tr>
        <w:trPr>
          <w:trHeight w:hRule="exact" w:val="384"/>
        </w:trPr>
        <w:tc>
          <w:tcPr>
            <w:tcW w:type="dxa" w:w="4898"/>
            <w:tcBorders>
              <w:start w:sz="4.0" w:val="single" w:color="#000000"/>
              <w:top w:sz="4.0" w:val="single" w:color="#000000"/>
              <w:end w:sz="4.0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0" w:after="0"/>
              <w:ind w:left="0" w:right="0" w:firstLine="0"/>
              <w:jc w:val="center"/>
            </w:pPr>
            <w:r>
              <w:rPr>
                <w:w w:val="98.08695419974948"/>
                <w:rFonts w:ascii="TimesNewRomanPS" w:hAnsi="TimesNewRomanPS" w:eastAsia="TimesNewRomanPS"/>
                <w:b/>
                <w:i w:val="0"/>
                <w:color w:val="000000"/>
                <w:sz w:val="23"/>
                <w:u w:val="single"/>
              </w:rPr>
              <w:t>DESPESA COM PESSOAL</w:t>
            </w:r>
            <w:r>
              <w:rPr>
                <w:w w:val="98.08695419974948"/>
                <w:rFonts w:ascii="TimesNewRomanPS" w:hAnsi="TimesNewRomanPS" w:eastAsia="TimesNewRomanPS"/>
                <w:b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type="dxa" w:w="2138"/>
            <w:tcBorders>
              <w:start w:sz="4.0" w:val="single" w:color="#000000"/>
              <w:top w:sz="4.0" w:val="single" w:color="#000000"/>
              <w:end w:sz="4.0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2" w:lineRule="exact" w:before="0" w:after="0"/>
              <w:ind w:left="0" w:right="0" w:firstLine="0"/>
              <w:jc w:val="center"/>
            </w:pP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VALOR </w:t>
            </w:r>
          </w:p>
        </w:tc>
        <w:tc>
          <w:tcPr>
            <w:tcW w:type="dxa" w:w="2570"/>
            <w:tcBorders>
              <w:start w:sz="4.0" w:val="single" w:color="#000000"/>
              <w:top w:sz="4.0" w:val="single" w:color="#000000"/>
              <w:end w:sz="1.599999999999454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2" w:lineRule="exact" w:before="0" w:after="0"/>
              <w:ind w:left="0" w:right="0" w:firstLine="0"/>
              <w:jc w:val="center"/>
            </w:pP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% SOBRE A RCL </w:t>
            </w:r>
          </w:p>
        </w:tc>
      </w:tr>
      <w:tr>
        <w:trPr>
          <w:trHeight w:hRule="exact" w:val="792"/>
        </w:trPr>
        <w:tc>
          <w:tcPr>
            <w:tcW w:type="dxa" w:w="4898"/>
            <w:tcBorders>
              <w:start w:sz="4.0" w:val="single" w:color="#000000"/>
              <w:top w:sz="2.400000000000091" w:val="single" w:color="#000000"/>
              <w:end w:sz="4.0" w:val="single" w:color="#000000"/>
              <w:bottom w:sz="4.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0" w:lineRule="exact" w:before="42" w:after="0"/>
              <w:ind w:left="100" w:right="0" w:firstLine="0"/>
              <w:jc w:val="left"/>
            </w:pP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Despesa Total com Pessoal – DTP </w:t>
            </w:r>
            <w:r>
              <w:br/>
            </w: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Limite Máximo (inciso I, II e III, art. 20 LRF) </w:t>
            </w:r>
            <w:r>
              <w:br/>
            </w: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Limite Prudencial (parágrafo único, art. 22 da LRF) </w:t>
            </w:r>
          </w:p>
        </w:tc>
        <w:tc>
          <w:tcPr>
            <w:tcW w:type="dxa" w:w="2138"/>
            <w:tcBorders>
              <w:start w:sz="4.0" w:val="single" w:color="#000000"/>
              <w:top w:sz="2.400000000000091" w:val="single" w:color="#000000"/>
              <w:end w:sz="4.0" w:val="single" w:color="#000000"/>
              <w:bottom w:sz="4.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0" w:lineRule="exact" w:before="42" w:after="0"/>
              <w:ind w:left="684" w:right="42" w:firstLine="114"/>
              <w:jc w:val="both"/>
            </w:pP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5.852.661,51 </w:t>
            </w: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13.682.892,78 </w:t>
            </w: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12.998.748,14 </w:t>
            </w:r>
          </w:p>
        </w:tc>
        <w:tc>
          <w:tcPr>
            <w:tcW w:type="dxa" w:w="2570"/>
            <w:tcBorders>
              <w:start w:sz="4.0" w:val="single" w:color="#000000"/>
              <w:top w:sz="2.400000000000091" w:val="single" w:color="#000000"/>
              <w:end w:sz="1.5999999999994543" w:val="single" w:color="#000000"/>
              <w:bottom w:sz="4.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0" w:lineRule="exact" w:before="42" w:after="0"/>
              <w:ind w:left="2052" w:right="40" w:firstLine="0"/>
              <w:jc w:val="both"/>
            </w:pP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2,57 </w:t>
            </w:r>
            <w:r>
              <w:br/>
            </w: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6,00 </w:t>
            </w:r>
            <w:r>
              <w:br/>
            </w: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5,70 </w:t>
            </w:r>
          </w:p>
        </w:tc>
      </w:tr>
      <w:tr>
        <w:trPr>
          <w:trHeight w:hRule="exact" w:val="874"/>
        </w:trPr>
        <w:tc>
          <w:tcPr>
            <w:tcW w:type="dxa" w:w="4898"/>
            <w:tcBorders>
              <w:start w:sz="4.0" w:val="single" w:color="#000000"/>
              <w:top w:sz="4.0000000000002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0" w:after="0"/>
              <w:ind w:left="0" w:right="0" w:firstLine="0"/>
              <w:jc w:val="center"/>
            </w:pPr>
            <w:r>
              <w:rPr>
                <w:w w:val="98.08695419974948"/>
                <w:rFonts w:ascii="TimesNewRomanPS" w:hAnsi="TimesNewRomanPS" w:eastAsia="TimesNewRomanPS"/>
                <w:b/>
                <w:i w:val="0"/>
                <w:color w:val="000000"/>
                <w:sz w:val="23"/>
                <w:u w:val="single"/>
              </w:rPr>
              <w:t>RESTOS A PAGAR</w:t>
            </w:r>
            <w:r>
              <w:rPr>
                <w:w w:val="98.08695419974948"/>
                <w:rFonts w:ascii="TimesNewRomanPS" w:hAnsi="TimesNewRomanPS" w:eastAsia="TimesNewRomanPS"/>
                <w:b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type="dxa" w:w="2138"/>
            <w:tcBorders>
              <w:start w:sz="4.0" w:val="single" w:color="#000000"/>
              <w:top w:sz="4.000000000000227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6" w:after="0"/>
              <w:ind w:left="144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19"/>
              </w:rPr>
              <w:t xml:space="preserve">INSCRIÇÃO EM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19"/>
              </w:rPr>
              <w:t xml:space="preserve">RESTOS A PAGAR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19"/>
              </w:rPr>
              <w:t xml:space="preserve">NÃO PROCESSADOS </w:t>
            </w:r>
          </w:p>
        </w:tc>
        <w:tc>
          <w:tcPr>
            <w:tcW w:type="dxa" w:w="2570"/>
            <w:tcBorders>
              <w:start w:sz="4.0" w:val="single" w:color="#000000"/>
              <w:top w:sz="4.000000000000227" w:val="single" w:color="#000000"/>
              <w:end w:sz="1.599999999999454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6" w:after="0"/>
              <w:ind w:left="144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19"/>
              </w:rPr>
              <w:t xml:space="preserve">SUFICIÊNCIA ANTES DA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19"/>
              </w:rPr>
              <w:t xml:space="preserve">INSCRIÇÃO EM RESTOS A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19"/>
              </w:rPr>
              <w:t xml:space="preserve">PAGAR NÃO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19"/>
              </w:rPr>
              <w:t xml:space="preserve">PROCESSADOS </w:t>
            </w:r>
          </w:p>
        </w:tc>
      </w:tr>
      <w:tr>
        <w:trPr>
          <w:trHeight w:hRule="exact" w:val="266"/>
        </w:trPr>
        <w:tc>
          <w:tcPr>
            <w:tcW w:type="dxa" w:w="48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100" w:right="0" w:firstLine="0"/>
              <w:jc w:val="left"/>
            </w:pP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Valores apurados nos demonstrativos respectivos </w:t>
            </w:r>
          </w:p>
        </w:tc>
        <w:tc>
          <w:tcPr>
            <w:tcW w:type="dxa" w:w="213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0" w:right="42" w:firstLine="0"/>
              <w:jc w:val="right"/>
            </w:pP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71.205,75 </w:t>
            </w:r>
          </w:p>
        </w:tc>
        <w:tc>
          <w:tcPr>
            <w:tcW w:type="dxa" w:w="2570"/>
            <w:tcBorders>
              <w:start w:sz="4.0" w:val="single" w:color="#000000"/>
              <w:top w:sz="4.0" w:val="single" w:color="#000000"/>
              <w:end w:sz="1.599999999999454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0" w:right="40" w:firstLine="0"/>
              <w:jc w:val="right"/>
            </w:pPr>
            <w:r>
              <w:rPr>
                <w:w w:val="98.08695419974948"/>
                <w:rFonts w:ascii="TimesNewRomanPSMT" w:hAnsi="TimesNewRomanPSMT" w:eastAsia="TimesNewRomanPSMT"/>
                <w:b w:val="0"/>
                <w:i w:val="0"/>
                <w:color w:val="000000"/>
                <w:sz w:val="23"/>
              </w:rPr>
              <w:t xml:space="preserve">301.480,71 </w:t>
            </w:r>
          </w:p>
        </w:tc>
      </w:tr>
    </w:tbl>
    <w:p>
      <w:pPr>
        <w:autoSpaceDN w:val="0"/>
        <w:autoSpaceDE w:val="0"/>
        <w:widowControl/>
        <w:spacing w:line="260" w:lineRule="exact" w:before="270" w:after="0"/>
        <w:ind w:left="720" w:right="720" w:firstLine="0"/>
        <w:jc w:val="center"/>
      </w:pP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O Relatório de Gestão Fiscal do 3º Quadrimestre do ano de 2009, encontra-se afixado </w:t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no mural do 2º andar da Câmara Municipal, na Rua Vale Machado, 1415, no horário </w:t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de 08:00 as 17:30 horas a contar do dia 22 de  Janeiro de 2010, bem como disponível no </w:t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site www.camara-sm.rs.gov.br. </w:t>
      </w:r>
    </w:p>
    <w:p>
      <w:pPr>
        <w:autoSpaceDN w:val="0"/>
        <w:autoSpaceDE w:val="0"/>
        <w:widowControl/>
        <w:spacing w:line="264" w:lineRule="exact" w:before="254" w:after="0"/>
        <w:ind w:left="3312" w:right="3312" w:firstLine="0"/>
        <w:jc w:val="center"/>
      </w:pP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PAULO AIRTON DENARDIN </w:t>
      </w:r>
      <w:r>
        <w:br/>
      </w:r>
      <w:r>
        <w:rPr>
          <w:w w:val="98.08695419974948"/>
          <w:rFonts w:ascii="TimesNewRomanPSMT" w:hAnsi="TimesNewRomanPSMT" w:eastAsia="TimesNewRomanPSMT"/>
          <w:b w:val="0"/>
          <w:i w:val="0"/>
          <w:color w:val="000000"/>
          <w:sz w:val="23"/>
        </w:rPr>
        <w:t xml:space="preserve">Presidente da CMVSM </w:t>
      </w:r>
    </w:p>
    <w:p>
      <w:pPr>
        <w:autoSpaceDN w:val="0"/>
        <w:tabs>
          <w:tab w:pos="3288" w:val="left"/>
        </w:tabs>
        <w:autoSpaceDE w:val="0"/>
        <w:widowControl/>
        <w:spacing w:line="156" w:lineRule="exact" w:before="6284" w:after="0"/>
        <w:ind w:left="2044" w:right="2016" w:firstLine="0"/>
        <w:jc w:val="left"/>
      </w:pPr>
      <w:r>
        <w:tab/>
      </w:r>
      <w:r>
        <w:rPr>
          <w:rFonts w:ascii="Tahoma" w:hAnsi="Tahoma" w:eastAsia="Tahoma"/>
          <w:b w:val="0"/>
          <w:i w:val="0"/>
          <w:color w:val="000000"/>
          <w:sz w:val="17"/>
        </w:rPr>
        <w:t xml:space="preserve">Seção de Contabilidade e Finanças </w:t>
      </w:r>
      <w:r>
        <w:br/>
      </w:r>
      <w:r>
        <w:rPr>
          <w:rFonts w:ascii="Tahoma" w:hAnsi="Tahoma" w:eastAsia="Tahoma"/>
          <w:b w:val="0"/>
          <w:i w:val="0"/>
          <w:color w:val="000000"/>
          <w:sz w:val="13"/>
        </w:rPr>
        <w:t xml:space="preserve">(e-mail: </w:t>
      </w:r>
      <w:r>
        <w:rPr>
          <w:rFonts w:ascii="Tahoma" w:hAnsi="Tahoma" w:eastAsia="Tahoma"/>
          <w:b w:val="0"/>
          <w:i w:val="0"/>
          <w:color w:val="0000FF"/>
          <w:sz w:val="13"/>
          <w:u w:val="single"/>
        </w:rPr>
        <w:t>contabilidade@camara-sm.rs.gov.br</w:t>
      </w:r>
      <w:r>
        <w:rPr>
          <w:rFonts w:ascii="Tahoma" w:hAnsi="Tahoma" w:eastAsia="Tahoma"/>
          <w:b w:val="0"/>
          <w:i w:val="0"/>
          <w:color w:val="000000"/>
          <w:sz w:val="13"/>
        </w:rPr>
        <w:t xml:space="preserve">  - Home Page: </w:t>
      </w:r>
      <w:r>
        <w:rPr>
          <w:rFonts w:ascii="Tahoma" w:hAnsi="Tahoma" w:eastAsia="Tahoma"/>
          <w:b w:val="0"/>
          <w:i w:val="0"/>
          <w:color w:val="0000FF"/>
          <w:sz w:val="13"/>
          <w:u w:val="single"/>
        </w:rPr>
        <w:t>http://www.camara-sm.rs.gov.br</w:t>
      </w:r>
      <w:r>
        <w:rPr>
          <w:rFonts w:ascii="Tahoma" w:hAnsi="Tahoma" w:eastAsia="Tahoma"/>
          <w:b w:val="0"/>
          <w:i w:val="0"/>
          <w:color w:val="000000"/>
          <w:sz w:val="13"/>
        </w:rPr>
        <w:t xml:space="preserve"> )</w:t>
      </w:r>
    </w:p>
    <w:sectPr w:rsidR="00FC693F" w:rsidRPr="0006063C" w:rsidSect="00034616">
      <w:pgSz w:w="12240" w:h="15840"/>
      <w:pgMar w:top="162" w:right="1132" w:bottom="446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