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354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4862"/>
        <w:gridCol w:w="4862"/>
      </w:tblGrid>
      <w:tr>
        <w:trPr>
          <w:trHeight w:hRule="exact" w:val="1246"/>
        </w:trPr>
        <w:tc>
          <w:tcPr>
            <w:tcW w:type="dxa" w:w="126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0" w:after="0"/>
              <w:ind w:left="0" w:right="0" w:firstLine="0"/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712470" cy="67183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6718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458" w:val="left"/>
              </w:tabs>
              <w:autoSpaceDE w:val="0"/>
              <w:widowControl/>
              <w:spacing w:line="290" w:lineRule="exact" w:before="44" w:after="0"/>
              <w:ind w:left="338" w:right="1728" w:firstLine="0"/>
              <w:jc w:val="lef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8"/>
              </w:rPr>
              <w:t xml:space="preserve"> Câmara Municipal de Vereadores </w:t>
            </w:r>
            <w:r>
              <w:tab/>
            </w:r>
            <w:r>
              <w:rPr>
                <w:rFonts w:ascii="Times" w:hAnsi="Times" w:eastAsia="Times"/>
                <w:b/>
                <w:i w:val="0"/>
                <w:color w:val="000000"/>
                <w:sz w:val="28"/>
              </w:rPr>
              <w:t>Santa Maria - RS</w:t>
            </w:r>
          </w:p>
          <w:p>
            <w:pPr>
              <w:autoSpaceDN w:val="0"/>
              <w:autoSpaceDE w:val="0"/>
              <w:widowControl/>
              <w:spacing w:line="230" w:lineRule="exact" w:before="332" w:after="0"/>
              <w:ind w:left="164" w:right="0" w:firstLine="0"/>
              <w:jc w:val="left"/>
            </w:pPr>
            <w:r>
              <w:rPr>
                <w:rFonts w:ascii="Helvetica" w:hAnsi="Helvetica" w:eastAsia="Helvetica"/>
                <w:b/>
                <w:i/>
                <w:color w:val="000000"/>
                <w:sz w:val="20"/>
              </w:rPr>
              <w:t>RELATÓRIO CONFORME RESOLUÇÃO Nº 008/93</w:t>
            </w:r>
          </w:p>
        </w:tc>
      </w:tr>
    </w:tbl>
    <w:p>
      <w:pPr>
        <w:autoSpaceDN w:val="0"/>
        <w:tabs>
          <w:tab w:pos="6320" w:val="left"/>
          <w:tab w:pos="6706" w:val="left"/>
          <w:tab w:pos="6872" w:val="left"/>
          <w:tab w:pos="6928" w:val="left"/>
        </w:tabs>
        <w:autoSpaceDE w:val="0"/>
        <w:widowControl/>
        <w:spacing w:line="490" w:lineRule="exact" w:before="0" w:after="0"/>
        <w:ind w:left="48" w:right="2160" w:firstLine="0"/>
        <w:jc w:val="left"/>
      </w:pPr>
      <w:r>
        <w:tab/>
      </w:r>
      <w:r>
        <w:tab/>
      </w:r>
      <w:r>
        <w:tab/>
      </w:r>
      <w:r>
        <w:tab/>
      </w:r>
      <w:r>
        <w:rPr>
          <w:rFonts w:ascii="Helvetica" w:hAnsi="Helvetica" w:eastAsia="Helvetica"/>
          <w:b/>
          <w:i/>
          <w:color w:val="000000"/>
          <w:sz w:val="20"/>
        </w:rPr>
        <w:t>MAIO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Maior Remuneração de Servidor Ativo </w:t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9.232,46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Menor Remuneração de Servidor Ativo </w:t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1.336,06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Subsídios de Vereadores </w:t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5.782,38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Montante Repassado pelo Executivo </w:t>
      </w:r>
      <w:r>
        <w:br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1.040.181,81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Diárias pagas a Vereadores </w:t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7.500,00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Passagens pagas a Vereadores </w:t>
      </w:r>
      <w:r>
        <w:tab/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415,17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Diárias pagas a Servidores </w:t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4.760,00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Passagens pagas a Servidores </w:t>
      </w:r>
      <w:r>
        <w:br/>
      </w:r>
      <w:r>
        <w:tab/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213,40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Diárias pagas a Motoristas </w:t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2.720,00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Publicações </w:t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2.536,91</w:t>
      </w:r>
    </w:p>
    <w:p>
      <w:pPr>
        <w:autoSpaceDN w:val="0"/>
        <w:autoSpaceDE w:val="0"/>
        <w:widowControl/>
        <w:spacing w:line="198" w:lineRule="exact" w:before="542" w:after="0"/>
        <w:ind w:left="48" w:right="0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20"/>
        </w:rPr>
        <w:t>Obs.: Divulgação sempre junto ao mural de avisos desta Casa Legislativa.</w:t>
      </w:r>
    </w:p>
    <w:p>
      <w:pPr>
        <w:autoSpaceDN w:val="0"/>
        <w:tabs>
          <w:tab w:pos="4292" w:val="left"/>
        </w:tabs>
        <w:autoSpaceDE w:val="0"/>
        <w:widowControl/>
        <w:spacing w:line="246" w:lineRule="exact" w:before="744" w:after="0"/>
        <w:ind w:left="48" w:right="2160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PATRICIA GUERRA TURCHETTI </w:t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NELIS T.PACHECO DOS SANTOS 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Tesoureira </w:t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Técnica em Contabilidade</w:t>
      </w:r>
    </w:p>
    <w:sectPr w:rsidR="00FC693F" w:rsidRPr="0006063C" w:rsidSect="00034616">
      <w:pgSz w:w="11900" w:h="16840"/>
      <w:pgMar w:top="574" w:right="1440" w:bottom="1440" w:left="736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