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058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80.0" w:type="dxa"/>
      </w:tblPr>
      <w:tblGrid>
        <w:gridCol w:w="2792"/>
        <w:gridCol w:w="2792"/>
        <w:gridCol w:w="2792"/>
        <w:gridCol w:w="2792"/>
        <w:gridCol w:w="2792"/>
      </w:tblGrid>
      <w:tr>
        <w:trPr>
          <w:trHeight w:hRule="exact" w:val="226"/>
        </w:trPr>
        <w:tc>
          <w:tcPr>
            <w:tcW w:type="dxa" w:w="69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0" w:after="0"/>
              <w:ind w:left="680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ORÇAMENTO TOTAL DA CÂ</w:t>
            </w: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  <w:u w:val="single"/>
              </w:rPr>
              <w:t>MA</w:t>
            </w: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RA PARA O EXERCÍCIO DE 2011</w:t>
            </w:r>
          </w:p>
        </w:tc>
        <w:tc>
          <w:tcPr>
            <w:tcW w:type="dxa" w:w="10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0" w:after="0"/>
              <w:ind w:left="180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 xml:space="preserve">R$ </w:t>
            </w:r>
          </w:p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0" w:after="0"/>
              <w:ind w:left="266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11.610.000,00</w:t>
            </w:r>
          </w:p>
        </w:tc>
        <w:tc>
          <w:tcPr>
            <w:tcW w:type="dxa" w:w="7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018" w:after="0"/>
              <w:ind w:left="10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R$ </w:t>
            </w:r>
          </w:p>
        </w:tc>
        <w:tc>
          <w:tcPr>
            <w:tcW w:type="dxa" w:w="22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018" w:after="0"/>
              <w:ind w:left="33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1.810.000,00</w:t>
            </w:r>
          </w:p>
        </w:tc>
      </w:tr>
      <w:tr>
        <w:trPr>
          <w:trHeight w:hRule="exact" w:val="520"/>
        </w:trPr>
        <w:tc>
          <w:tcPr>
            <w:tcW w:type="dxa" w:w="796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4506" w:after="0"/>
              <w:ind w:left="680" w:right="1152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Prestação de serviços - (telefone fixo, cel, correio, manutenção de: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equipamentos eletrônicos, eletrodomésticos, móveis, imóveis...),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publicações, cursos, treinamen</w:t>
            </w:r>
            <w:r>
              <w:rPr>
                <w:shd w:val="clear" w:color="auto" w:fill="000000"/>
                <w:rFonts w:ascii="Helvetica" w:hAnsi="Helvetica" w:eastAsia="Helvetica"/>
                <w:b w:val="0"/>
                <w:i w:val="0"/>
                <w:color w:val="000000"/>
                <w:sz w:val="20"/>
              </w:rPr>
              <w:t>t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os, assinaturas jornais e periódicos...</w:t>
            </w:r>
          </w:p>
          <w:p>
            <w:pPr>
              <w:autoSpaceDN w:val="0"/>
              <w:autoSpaceDE w:val="0"/>
              <w:widowControl/>
              <w:spacing w:line="246" w:lineRule="exact" w:before="6" w:after="0"/>
              <w:ind w:left="680" w:right="144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Serviços de Consul</w:t>
            </w:r>
            <w:r>
              <w:rPr>
                <w:shd w:val="clear" w:color="auto" w:fill="000000"/>
                <w:rFonts w:ascii="Helvetica" w:hAnsi="Helvetica" w:eastAsia="Helvetica"/>
                <w:b w:val="0"/>
                <w:i w:val="0"/>
                <w:color w:val="000000"/>
                <w:sz w:val="20"/>
              </w:rPr>
              <w:t>t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oria (IGAM)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Locação (softwares</w:t>
            </w:r>
            <w:r>
              <w:rPr>
                <w:shd w:val="clear" w:color="auto" w:fill="000000"/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e equipamentos)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Despesas de exerc</w:t>
            </w:r>
            <w:r>
              <w:rPr>
                <w:shd w:val="clear" w:color="auto" w:fill="000000"/>
                <w:rFonts w:ascii="Helvetica" w:hAnsi="Helvetica" w:eastAsia="Helvetica"/>
                <w:b w:val="0"/>
                <w:i w:val="0"/>
                <w:color w:val="000000"/>
                <w:sz w:val="20"/>
              </w:rPr>
              <w:t>í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cios anteriores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Amortização dívida fundada (parcelamento INSS juros e principal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Reserva de contingência</w:t>
            </w:r>
          </w:p>
          <w:p>
            <w:pPr>
              <w:autoSpaceDN w:val="0"/>
              <w:autoSpaceDE w:val="0"/>
              <w:widowControl/>
              <w:spacing w:line="230" w:lineRule="exact" w:before="294" w:after="0"/>
              <w:ind w:left="680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TOTAL GERAL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702.0000000000005" w:type="dxa"/>
            </w:tblPr>
            <w:tblGrid>
              <w:gridCol w:w="663"/>
              <w:gridCol w:w="663"/>
              <w:gridCol w:w="663"/>
              <w:gridCol w:w="663"/>
              <w:gridCol w:w="663"/>
              <w:gridCol w:w="663"/>
              <w:gridCol w:w="663"/>
              <w:gridCol w:w="663"/>
              <w:gridCol w:w="663"/>
              <w:gridCol w:w="663"/>
              <w:gridCol w:w="663"/>
              <w:gridCol w:w="663"/>
            </w:tblGrid>
            <w:tr>
              <w:trPr>
                <w:trHeight w:hRule="exact" w:val="2336"/>
              </w:trPr>
              <w:tc>
                <w:tcPr>
                  <w:tcW w:type="dxa" w:w="3476"/>
                  <w:gridSpan w:val="10"/>
                  <w:tcBorders>
                    <w:start w:sz="15.200000000000273" w:val="single" w:color="#000000"/>
                    <w:end w:sz="15.200000000000273" w:val="single" w:color="#000000"/>
                    <w:bottom w:sz="7.999999999999773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790" w:after="0"/>
                    <w:ind w:left="0" w:right="1804" w:firstLine="0"/>
                    <w:jc w:val="right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Total</w:t>
                  </w:r>
                </w:p>
              </w:tc>
              <w:tc>
                <w:tcPr>
                  <w:tcW w:type="dxa" w:w="260"/>
                  <w:vMerge w:val="restart"/>
                  <w:tcBorders>
                    <w:start w:sz="15.200000000000273" w:val="single" w:color="#000000"/>
                    <w:top w:sz="15.200000000000045" w:val="single" w:color="#000000"/>
                    <w:end w:sz="15.199999999999818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6" w:lineRule="exact" w:before="232" w:after="0"/>
                    <w:ind w:left="0" w:right="0" w:firstLine="0"/>
                    <w:jc w:val="both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</w:p>
                <w:p>
                  <w:pPr>
                    <w:autoSpaceDN w:val="0"/>
                    <w:autoSpaceDE w:val="0"/>
                    <w:widowControl/>
                    <w:spacing w:line="242" w:lineRule="exact" w:before="252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</w:p>
                <w:p>
                  <w:pPr>
                    <w:autoSpaceDN w:val="0"/>
                    <w:autoSpaceDE w:val="0"/>
                    <w:widowControl/>
                    <w:spacing w:line="244" w:lineRule="exact" w:before="284" w:after="0"/>
                    <w:ind w:left="0" w:right="0" w:firstLine="0"/>
                    <w:jc w:val="both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</w:p>
                <w:p>
                  <w:pPr>
                    <w:autoSpaceDN w:val="0"/>
                    <w:autoSpaceDE w:val="0"/>
                    <w:widowControl/>
                    <w:spacing w:line="246" w:lineRule="exact" w:before="282" w:after="0"/>
                    <w:ind w:left="0" w:right="0" w:firstLine="0"/>
                    <w:jc w:val="both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</w:p>
                <w:p>
                  <w:pPr>
                    <w:autoSpaceDN w:val="0"/>
                    <w:autoSpaceDE w:val="0"/>
                    <w:widowControl/>
                    <w:spacing w:line="198" w:lineRule="exact" w:before="296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</w:p>
                <w:p>
                  <w:pPr>
                    <w:autoSpaceDN w:val="0"/>
                    <w:autoSpaceDE w:val="0"/>
                    <w:widowControl/>
                    <w:spacing w:line="246" w:lineRule="exact" w:before="744" w:after="0"/>
                    <w:ind w:left="0" w:right="0" w:firstLine="0"/>
                    <w:jc w:val="both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</w:p>
                <w:p>
                  <w:pPr>
                    <w:autoSpaceDN w:val="0"/>
                    <w:autoSpaceDE w:val="0"/>
                    <w:widowControl/>
                    <w:spacing w:line="230" w:lineRule="exact" w:before="294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/>
                      <w:i w:val="0"/>
                      <w:color w:val="000000"/>
                      <w:sz w:val="20"/>
                    </w:rPr>
                    <w:t xml:space="preserve">R$ </w:t>
                  </w:r>
                </w:p>
              </w:tc>
              <w:tc>
                <w:tcPr>
                  <w:tcW w:type="dxa" w:w="264"/>
                  <w:tcBorders>
                    <w:start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2588"/>
              </w:trPr>
              <w:tc>
                <w:tcPr>
                  <w:tcW w:type="dxa" w:w="248"/>
                  <w:tcBorders>
                    <w:start w:sz="15.200000000000273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8.0" w:val="single" w:color="#000000"/>
                    <w:top w:sz="7.999999999999773" w:val="single" w:color="#000000"/>
                    <w:end w:sz="7.200000000000273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6"/>
                  <w:tcBorders>
                    <w:start w:sz="7.200000000000273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494"/>
                  <w:tcBorders>
                    <w:start w:sz="8.0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990"/>
                  <w:tcBorders>
                    <w:start w:sz="8.0" w:val="single" w:color="#000000"/>
                    <w:top w:sz="7.999999999999773" w:val="single" w:color="#000000"/>
                    <w:end w:sz="7.200000000000273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6"/>
                  <w:tcBorders>
                    <w:start w:sz="7.200000000000273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8.0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6"/>
                  <w:tcBorders>
                    <w:start w:sz="8.0" w:val="single" w:color="#000000"/>
                    <w:top w:sz="7.999999999999773" w:val="single" w:color="#000000"/>
                    <w:end w:sz="7.199999999999818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7.199999999999818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62"/>
                  <w:tcBorders>
                    <w:start w:sz="8.0" w:val="single" w:color="#000000"/>
                    <w:top w:sz="7.999999999999773" w:val="single" w:color="#000000"/>
                    <w:end w:sz="15.200000000000273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663"/>
                  <w:vMerge/>
                  <w:tcBorders>
                    <w:start w:sz="15.200000000000273" w:val="single" w:color="#000000"/>
                    <w:top w:sz="15.200000000000045" w:val="single" w:color="#000000"/>
                    <w:end w:sz="15.199999999999818" w:val="single" w:color="#000000"/>
                  </w:tcBorders>
                </w:tcPr>
                <w:p/>
              </w:tc>
              <w:tc>
                <w:tcPr>
                  <w:tcW w:type="dxa" w:w="264"/>
                  <w:vMerge w:val="restart"/>
                  <w:tcBorders>
                    <w:start w:sz="15.199999999999818" w:val="single" w:color="#000000"/>
                    <w:top w:sz="15.199999999999818" w:val="single" w:color="#000000"/>
                    <w:end w:sz="15.199999999999818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4194"/>
              </w:trPr>
              <w:tc>
                <w:tcPr>
                  <w:tcW w:type="dxa" w:w="248"/>
                  <w:tcBorders>
                    <w:start w:sz="15.200000000000273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8.0" w:val="single" w:color="#000000"/>
                    <w:top w:sz="8.0" w:val="single" w:color="#000000"/>
                    <w:end w:sz="7.200000000000273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6"/>
                  <w:tcBorders>
                    <w:start w:sz="7.200000000000273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494"/>
                  <w:tcBorders>
                    <w:start w:sz="8.0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990"/>
                  <w:tcBorders>
                    <w:start w:sz="8.0" w:val="single" w:color="#000000"/>
                    <w:top w:sz="8.0" w:val="single" w:color="#000000"/>
                    <w:end w:sz="7.200000000000273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8" w:lineRule="exact" w:before="1612" w:after="0"/>
                    <w:ind w:left="0" w:right="0" w:firstLine="0"/>
                    <w:jc w:val="left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Total</w:t>
                  </w:r>
                </w:p>
              </w:tc>
              <w:tc>
                <w:tcPr>
                  <w:tcW w:type="dxa" w:w="246"/>
                  <w:tcBorders>
                    <w:start w:sz="7.200000000000273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8.0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6"/>
                  <w:tcBorders>
                    <w:start w:sz="8.0" w:val="single" w:color="#000000"/>
                    <w:top w:sz="8.0" w:val="single" w:color="#000000"/>
                    <w:end w:sz="7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7.199999999999818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62"/>
                  <w:tcBorders>
                    <w:start w:sz="8.0" w:val="single" w:color="#000000"/>
                    <w:top w:sz="8.0" w:val="single" w:color="#000000"/>
                    <w:end w:sz="15.200000000000273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663"/>
                  <w:vMerge/>
                  <w:tcBorders>
                    <w:start w:sz="15.200000000000273" w:val="single" w:color="#000000"/>
                    <w:top w:sz="15.200000000000045" w:val="single" w:color="#000000"/>
                    <w:end w:sz="15.199999999999818" w:val="single" w:color="#000000"/>
                  </w:tcBorders>
                </w:tcPr>
                <w:p/>
              </w:tc>
              <w:tc>
                <w:tcPr>
                  <w:tcW w:type="dxa" w:w="663"/>
                  <w:vMerge/>
                  <w:tcBorders>
                    <w:start w:sz="15.199999999999818" w:val="single" w:color="#000000"/>
                    <w:top w:sz="15.199999999999818" w:val="single" w:color="#000000"/>
                    <w:end w:sz="15.199999999999818" w:val="single" w:color="#000000"/>
                  </w:tcBorders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238" w:lineRule="exact" w:before="0" w:after="0"/>
              <w:ind w:left="680" w:right="1584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Despesa com pessoal</w:t>
            </w:r>
            <w:r>
              <w:rPr>
                <w:shd w:val="clear" w:color="auto" w:fill="000000"/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- Vereadores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Diárias - Vereadores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Despesa com locomoção e passagens - vereadores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Material de consumo -</w:t>
            </w:r>
            <w:r>
              <w:rPr>
                <w:shd w:val="clear" w:color="auto" w:fill="000000"/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vereadores (combustível, material de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expediente, de informática...)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Prestação de serviços</w:t>
            </w:r>
            <w:r>
              <w:rPr>
                <w:shd w:val="clear" w:color="auto" w:fill="000000"/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- vereadores (telefone fixo, cel, correio...)</w:t>
            </w:r>
          </w:p>
          <w:p>
            <w:pPr>
              <w:autoSpaceDN w:val="0"/>
              <w:autoSpaceDE w:val="0"/>
              <w:widowControl/>
              <w:spacing w:line="244" w:lineRule="exact" w:before="284" w:after="0"/>
              <w:ind w:left="680" w:right="1872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Obras e Instalações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Eq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uipamentos e ma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ter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ial perm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anente (informática, móveis...)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Equipamentos e material permanente (TV Câmara.)</w:t>
            </w:r>
          </w:p>
          <w:p>
            <w:pPr>
              <w:autoSpaceDN w:val="0"/>
              <w:autoSpaceDE w:val="0"/>
              <w:widowControl/>
              <w:spacing w:line="246" w:lineRule="exact" w:before="282" w:after="0"/>
              <w:ind w:left="680" w:right="1152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Despesa com pessoal - servidores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Diárias - Servidores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Despesa com locomoção e passagens - servidores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Material de consumo (material de expediente, de informática, para a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TV, para manutenção, combustível ...) </w:t>
            </w:r>
          </w:p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0" w:after="0"/>
              <w:ind w:left="37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1.350.000,00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24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8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80.000,00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38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36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8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140.000,00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52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2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220.000,00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262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0" w:after="0"/>
              <w:ind w:left="37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1.000.000,00</w:t>
            </w:r>
          </w:p>
        </w:tc>
        <w:tc>
          <w:tcPr>
            <w:tcW w:type="dxa" w:w="7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90" w:after="0"/>
              <w:ind w:left="10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R$ </w:t>
            </w:r>
          </w:p>
        </w:tc>
        <w:tc>
          <w:tcPr>
            <w:tcW w:type="dxa" w:w="22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90" w:after="0"/>
              <w:ind w:left="33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1.650.000,00</w:t>
            </w:r>
          </w:p>
        </w:tc>
      </w:tr>
      <w:tr>
        <w:trPr>
          <w:trHeight w:hRule="exact" w:val="246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400.000,00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512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0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250.000,00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26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" w:after="0"/>
              <w:ind w:left="37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6.290.000,00</w:t>
            </w:r>
          </w:p>
        </w:tc>
        <w:tc>
          <w:tcPr>
            <w:tcW w:type="dxa" w:w="7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508" w:after="0"/>
              <w:ind w:left="10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R$ </w:t>
            </w:r>
          </w:p>
        </w:tc>
        <w:tc>
          <w:tcPr>
            <w:tcW w:type="dxa" w:w="22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508" w:after="0"/>
              <w:ind w:left="33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8.150.000,00</w:t>
            </w:r>
          </w:p>
        </w:tc>
      </w:tr>
      <w:tr>
        <w:trPr>
          <w:trHeight w:hRule="exact" w:val="248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120.000,00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37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25.000,00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74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148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210.000,00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62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6" w:after="0"/>
              <w:ind w:left="37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1.195.000,00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246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248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180.000,00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248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40.000,00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244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396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2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50.000,00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244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18" w:after="0"/>
              <w:ind w:left="266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11.610.000,00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6840" w:h="11900"/>
      <w:pgMar w:top="1276" w:right="1440" w:bottom="0" w:left="14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