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34"/>
        <w:ind w:left="0" w:right="0"/>
      </w:pPr>
    </w:p>
    <w:p>
      <w:pPr>
        <w:autoSpaceDN w:val="0"/>
        <w:tabs>
          <w:tab w:pos="2710" w:val="left"/>
          <w:tab w:pos="2800" w:val="left"/>
          <w:tab w:pos="3056" w:val="left"/>
          <w:tab w:pos="3064" w:val="left"/>
          <w:tab w:pos="3600" w:val="left"/>
          <w:tab w:pos="3692" w:val="left"/>
        </w:tabs>
        <w:autoSpaceDE w:val="0"/>
        <w:widowControl/>
        <w:spacing w:line="182" w:lineRule="exact" w:before="262" w:after="70"/>
        <w:ind w:left="1538" w:right="2592" w:firstLine="0"/>
        <w:jc w:val="left"/>
      </w:pPr>
      <w:r>
        <w:tab/>
      </w:r>
      <w:r>
        <w:rPr>
          <w:rFonts w:ascii="Times New Roman,Bold" w:hAnsi="Times New Roman,Bold" w:eastAsia="Times New Roman,Bold"/>
          <w:b/>
          <w:i w:val="0"/>
          <w:color w:val="000000"/>
          <w:sz w:val="16"/>
        </w:rPr>
        <w:t xml:space="preserve">MUNICÍPIO DE SANTA MARIA - PODER LEGISLATIVO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CÂMARA MUNICIPAL DE VEREADORES DE SANTA MARIA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RELATÓRIO DE GESTÃO FISCAL </w:t>
      </w:r>
      <w:r>
        <w:br/>
      </w:r>
      <w:r>
        <w:tab/>
      </w:r>
      <w:r>
        <w:tab/>
      </w:r>
      <w:r>
        <w:tab/>
      </w:r>
      <w:r>
        <w:tab/>
      </w:r>
      <w:r>
        <w:rPr>
          <w:rFonts w:ascii="Times New Roman,Bold" w:hAnsi="Times New Roman,Bold" w:eastAsia="Times New Roman,Bold"/>
          <w:b/>
          <w:i w:val="0"/>
          <w:color w:val="000000"/>
          <w:sz w:val="16"/>
        </w:rPr>
        <w:t xml:space="preserve">DEMONSTRATIVO DA DESPESA COM PESSOAL </w:t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ORÇAMENTO FISCAL E DA SEGURIDADE SOCIAL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PERÍODO: MAIO/2015 A ABRIL/2016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RGF – Anexo I (LRF, art. 55, inciso I, alínea “a”)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30.0" w:type="dxa"/>
      </w:tblPr>
      <w:tblGrid>
        <w:gridCol w:w="3282"/>
        <w:gridCol w:w="3282"/>
        <w:gridCol w:w="3282"/>
      </w:tblGrid>
      <w:tr>
        <w:trPr>
          <w:trHeight w:hRule="exact" w:val="234"/>
        </w:trPr>
        <w:tc>
          <w:tcPr>
            <w:tcW w:type="dxa" w:w="439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4" w:lineRule="exact" w:before="562" w:after="0"/>
              <w:ind w:left="0" w:right="0" w:firstLine="0"/>
              <w:jc w:val="center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  <w:u w:val="single"/>
              </w:rPr>
              <w:t>DESPESA COM PESSOAL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DESPESAS EXECUTADAS </w:t>
            </w:r>
          </w:p>
        </w:tc>
      </w:tr>
      <w:tr>
        <w:trPr>
          <w:trHeight w:hRule="exact" w:val="194"/>
        </w:trPr>
        <w:tc>
          <w:tcPr>
            <w:tcW w:type="dxa" w:w="328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(últimos 12 meses) </w:t>
            </w:r>
          </w:p>
        </w:tc>
      </w:tr>
      <w:tr>
        <w:trPr>
          <w:trHeight w:hRule="exact" w:val="932"/>
        </w:trPr>
        <w:tc>
          <w:tcPr>
            <w:tcW w:type="dxa" w:w="328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252" w:after="0"/>
              <w:ind w:left="144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LIQUIDADAS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(a)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INSCRITAS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EM RESTOS A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PAGAR NÃO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PROCESSADO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S (b) </w:t>
            </w:r>
          </w:p>
        </w:tc>
      </w:tr>
      <w:tr>
        <w:trPr>
          <w:trHeight w:hRule="exact" w:val="228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BRUTA COM PESSOAL (I)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24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10.225.476,55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7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Pessoal Ativo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9.937.339,95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58"/>
        </w:trPr>
        <w:tc>
          <w:tcPr>
            <w:tcW w:type="dxa" w:w="439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Pessoal Inativo e Pensionistas </w:t>
            </w:r>
          </w:p>
        </w:tc>
        <w:tc>
          <w:tcPr>
            <w:tcW w:type="dxa" w:w="1274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288.136,60 </w:t>
            </w:r>
          </w:p>
        </w:tc>
        <w:tc>
          <w:tcPr>
            <w:tcW w:type="dxa" w:w="128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38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Outras Despesas de  Pessoal decorrentes Contratos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Terceirização  ( § 1°art. 18 da LRF)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58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58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92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DESP. NÃO COMPUTADAS (§1º, ART.19  LRF) (II)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Indenizações por Demissão e Incentivos à Demissão Voluntária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6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Decorrentes de Decisão Judicial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Despesas de Exercícios Anteriores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6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Inativos e Pensionistas com Recursos Vinculados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0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76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LÍQUIDA COM PESSOAL (III) =(I-II)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246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10.225.476,55 </w:t>
            </w:r>
          </w:p>
        </w:tc>
        <w:tc>
          <w:tcPr>
            <w:tcW w:type="dxa" w:w="12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0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TOTAL COM PESSOAL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10.225.476,55 </w:t>
            </w:r>
          </w:p>
        </w:tc>
      </w:tr>
      <w:tr>
        <w:trPr>
          <w:trHeight w:hRule="exact" w:val="194"/>
        </w:trPr>
        <w:tc>
          <w:tcPr>
            <w:tcW w:type="dxa" w:w="6950"/>
            <w:gridSpan w:val="3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96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104" w:right="0" w:firstLine="0"/>
              <w:jc w:val="left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  <w:u w:val="single"/>
              </w:rPr>
              <w:t>APURAÇÃO DO CUMPRIMENTO DO LIMITE LEGAL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VALOR </w:t>
            </w:r>
          </w:p>
        </w:tc>
      </w:tr>
      <w:tr>
        <w:trPr>
          <w:trHeight w:hRule="exact" w:val="19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RECEITA CORRENTE LÍQUIDA – RCL (V)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422.355.367,94 </w:t>
            </w:r>
          </w:p>
        </w:tc>
      </w:tr>
      <w:tr>
        <w:trPr>
          <w:trHeight w:hRule="exact" w:val="380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% da DESPESA TOTAL COM PESSOAL – DTP sobre a RCL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(VI) = (IV / V)*100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7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2,42 </w:t>
            </w:r>
          </w:p>
        </w:tc>
      </w:tr>
      <w:tr>
        <w:trPr>
          <w:trHeight w:hRule="exact" w:val="376"/>
        </w:trPr>
        <w:tc>
          <w:tcPr>
            <w:tcW w:type="dxa" w:w="439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MÁXIMO (incisos I, II e III do art. 20 da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(6,0%)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66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25.341.322,08 </w:t>
            </w:r>
          </w:p>
        </w:tc>
      </w:tr>
      <w:tr>
        <w:trPr>
          <w:trHeight w:hRule="exact" w:val="194"/>
        </w:trPr>
        <w:tc>
          <w:tcPr>
            <w:tcW w:type="dxa" w:w="43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PRUDENCIAL (parágrafo único  art. 22  LRF)- (5,7%) </w:t>
            </w:r>
          </w:p>
        </w:tc>
        <w:tc>
          <w:tcPr>
            <w:tcW w:type="dxa" w:w="255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24.074.255,97 </w:t>
            </w:r>
          </w:p>
        </w:tc>
      </w:tr>
    </w:tbl>
    <w:p>
      <w:pPr>
        <w:autoSpaceDN w:val="0"/>
        <w:autoSpaceDE w:val="0"/>
        <w:widowControl/>
        <w:spacing w:line="254" w:lineRule="auto" w:before="0" w:after="0"/>
        <w:ind w:left="1534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Fonte: Contabilidade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Nota: Os valores constantes deste demonstrativo foram apurados e publicados em conformidade com 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IN TCE 07/2015. </w:t>
      </w:r>
    </w:p>
    <w:p>
      <w:pPr>
        <w:autoSpaceDN w:val="0"/>
        <w:autoSpaceDE w:val="0"/>
        <w:widowControl/>
        <w:spacing w:line="252" w:lineRule="auto" w:before="0" w:after="0"/>
        <w:ind w:left="1534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O Relatório de Gestão Fiscal do 1° Quadrimestre de 2016, encontra-se afixado no mural do 2° andar da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Câmara Municipa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hyperlink r:id="rId9" w:history="1">
          <w:r>
            <w:rPr>
              <w:rStyle w:val="Hyperlink"/>
            </w:rPr>
            <w:t>l, na rua Vale Machado, 14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15, a contar do dia 16 de maio de 2016, bem como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disponível no site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FF"/>
          <w:sz w:val="16"/>
          <w:u w:val="single"/>
        </w:rPr>
        <w:hyperlink r:id="rId9" w:history="1">
          <w:r>
            <w:rPr>
              <w:rStyle w:val="Hyperlink"/>
            </w:rPr>
            <w:t>www.camara-sm.rs.gov.br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hyperlink r:id="rId9" w:history="1">
          <w:r>
            <w:rPr>
              <w:rStyle w:val="Hyperlink"/>
            </w:rPr>
            <w:t>.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</w:t>
      </w:r>
    </w:p>
    <w:p>
      <w:pPr>
        <w:autoSpaceDN w:val="0"/>
        <w:autoSpaceDE w:val="0"/>
        <w:widowControl/>
        <w:spacing w:line="259" w:lineRule="auto" w:before="152" w:after="0"/>
        <w:ind w:left="1534" w:right="273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Luiz Carlos Avila da Silva                                                             Roselaine S. Bonaldo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Presidente da CMVSM                                                                  CRC/RS 56.873 </w:t>
      </w:r>
    </w:p>
    <w:sectPr w:rsidR="00FC693F" w:rsidRPr="0006063C" w:rsidSect="00034616">
      <w:pgSz w:w="11906" w:h="16841"/>
      <w:pgMar w:top="352" w:right="868" w:bottom="1440" w:left="119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camara-sm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