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366"/>
        </w:trPr>
        <w:tc>
          <w:tcPr>
            <w:tcW w:type="dxa" w:w="15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02" w:val="left"/>
              </w:tabs>
              <w:autoSpaceDE w:val="0"/>
              <w:widowControl/>
              <w:spacing w:line="356" w:lineRule="exact" w:before="30" w:after="0"/>
              <w:ind w:left="580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404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7340" w:val="left"/>
          <w:tab w:pos="7582" w:val="left"/>
        </w:tabs>
        <w:autoSpaceDE w:val="0"/>
        <w:widowControl/>
        <w:spacing w:line="548" w:lineRule="exact" w:before="0" w:after="0"/>
        <w:ind w:left="50" w:right="1584" w:firstLine="0"/>
        <w:jc w:val="left"/>
      </w:pPr>
      <w:r>
        <w:tab/>
      </w:r>
      <w:r>
        <w:rPr>
          <w:rFonts w:ascii="Arial,BoldItalic" w:hAnsi="Arial,BoldItalic" w:eastAsia="Arial,BoldItalic"/>
          <w:b/>
          <w:i/>
          <w:color w:val="000000"/>
          <w:sz w:val="20"/>
        </w:rPr>
        <w:t>ABRIL/2017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16.099,23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2.020,63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9.641,03</w:t>
      </w:r>
    </w:p>
    <w:p>
      <w:pPr>
        <w:autoSpaceDN w:val="0"/>
        <w:tabs>
          <w:tab w:pos="7300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1.877.047,72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7.875,00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7.391,53</w:t>
      </w:r>
    </w:p>
    <w:p>
      <w:pPr>
        <w:autoSpaceDN w:val="0"/>
        <w:tabs>
          <w:tab w:pos="786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rPr>
          <w:rFonts w:ascii="Calibri" w:hAnsi="Calibri" w:eastAsia="Calibri"/>
          <w:b w:val="0"/>
          <w:i w:val="0"/>
          <w:color w:val="000000"/>
          <w:sz w:val="22"/>
        </w:rPr>
        <w:t>205,00</w:t>
      </w:r>
    </w:p>
    <w:p>
      <w:pPr>
        <w:autoSpaceDN w:val="0"/>
        <w:tabs>
          <w:tab w:pos="8088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0,00</w:t>
      </w:r>
    </w:p>
    <w:p>
      <w:pPr>
        <w:autoSpaceDN w:val="0"/>
        <w:tabs>
          <w:tab w:pos="786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rPr>
          <w:rFonts w:ascii="Calibri" w:hAnsi="Calibri" w:eastAsia="Calibri"/>
          <w:b w:val="0"/>
          <w:i w:val="0"/>
          <w:color w:val="000000"/>
          <w:sz w:val="22"/>
        </w:rPr>
        <w:t>922,50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7.774,66</w:t>
      </w:r>
    </w:p>
    <w:p>
      <w:pPr>
        <w:autoSpaceDN w:val="0"/>
        <w:autoSpaceDE w:val="0"/>
        <w:widowControl/>
        <w:spacing w:line="197" w:lineRule="auto" w:before="65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autoSpaceDN w:val="0"/>
        <w:tabs>
          <w:tab w:pos="5156" w:val="left"/>
        </w:tabs>
        <w:autoSpaceDE w:val="0"/>
        <w:widowControl/>
        <w:spacing w:line="274" w:lineRule="exact" w:before="892" w:after="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NELIS T. PACHECO DOS SANTOS</w:t>
      </w:r>
    </w:p>
    <w:p>
      <w:pPr>
        <w:autoSpaceDN w:val="0"/>
        <w:tabs>
          <w:tab w:pos="5156" w:val="left"/>
        </w:tabs>
        <w:autoSpaceDE w:val="0"/>
        <w:widowControl/>
        <w:spacing w:line="274" w:lineRule="exact" w:before="16" w:after="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Técnica Legislativa - Área Contábil</w:t>
      </w:r>
    </w:p>
    <w:sectPr w:rsidR="00FC693F" w:rsidRPr="0006063C" w:rsidSect="00034616">
      <w:pgSz w:w="12240" w:h="15840"/>
      <w:pgMar w:top="558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