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autoSpaceDE w:val="0"/>
        <w:widowControl/>
        <w:spacing w:line="182" w:lineRule="exact" w:before="262" w:after="0"/>
        <w:ind w:left="2592" w:right="2592" w:firstLine="0"/>
        <w:jc w:val="center"/>
      </w:pP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MUNICÍPIO DE SANTA MARIA - PODER LEGISLATIVO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CÂMARA MUNICIPAL DE VEREADORES DE SANTA MARIA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RELATÓRIO DE GESTÃO FISCAL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DEMONSTRATIVO DA DESPESA COM PESSOAL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ORÇAMENTO FISCAL E DA SEGURIDADE SOCIAL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PERÍODO: MAIO/2016 A ABRIL/2017 </w:t>
      </w:r>
    </w:p>
    <w:p>
      <w:pPr>
        <w:autoSpaceDN w:val="0"/>
        <w:autoSpaceDE w:val="0"/>
        <w:widowControl/>
        <w:spacing w:line="278" w:lineRule="auto" w:before="152" w:after="70"/>
        <w:ind w:left="1538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RGF – Anexo I (LRF, art. 55, inciso I, alínea “a”)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30.0" w:type="dxa"/>
      </w:tblPr>
      <w:tblGrid>
        <w:gridCol w:w="3282"/>
        <w:gridCol w:w="3282"/>
        <w:gridCol w:w="3282"/>
      </w:tblGrid>
      <w:tr>
        <w:trPr>
          <w:trHeight w:hRule="exact" w:val="234"/>
        </w:trPr>
        <w:tc>
          <w:tcPr>
            <w:tcW w:type="dxa" w:w="432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562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DESPESA COM PESSOAL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EXECUTADAS </w:t>
            </w:r>
          </w:p>
        </w:tc>
      </w:tr>
      <w:tr>
        <w:trPr>
          <w:trHeight w:hRule="exact" w:val="194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624"/>
            <w:gridSpan w:val="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(últimos 12 meses) </w:t>
            </w:r>
          </w:p>
        </w:tc>
      </w:tr>
      <w:tr>
        <w:trPr>
          <w:trHeight w:hRule="exact" w:val="928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25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LIQUIDADAS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(a)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INSCRITAS EM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RESTOS A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PAGAR NÃO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PROCESSADOS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(b) </w:t>
            </w:r>
          </w:p>
        </w:tc>
      </w:tr>
      <w:tr>
        <w:trPr>
          <w:trHeight w:hRule="exact" w:val="23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BRUTA COM PESSOAL (I)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10.946.588,83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72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Ativo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10.643.102,98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58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Inativo e Pensionistas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303.485,85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Outras Despesas de Pessoal decorrentes Contratos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Terceirização (§ 1° art. 18 da LRF)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56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5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92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DESP. NÃO COMPUTADAS (§1º, ART.19 LRF) (II)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Indenizações por Demissão e Incentivos à Demissão Voluntária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6"/>
        </w:trPr>
        <w:tc>
          <w:tcPr>
            <w:tcW w:type="dxa" w:w="4326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Decorrentes de Decisão Judicial </w:t>
            </w:r>
          </w:p>
        </w:tc>
        <w:tc>
          <w:tcPr>
            <w:tcW w:type="dxa" w:w="1274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26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de Exercícios Anteriores </w:t>
            </w:r>
          </w:p>
        </w:tc>
        <w:tc>
          <w:tcPr>
            <w:tcW w:type="dxa" w:w="1274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2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Inativos e Pensionistas com Recursos Vinculados </w:t>
            </w:r>
          </w:p>
        </w:tc>
        <w:tc>
          <w:tcPr>
            <w:tcW w:type="dxa" w:w="127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74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LÍQUIDA COM PESSOAL (III) =(I-II)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10.946.588,83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0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TOTAL COM PESSOAL (IV)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10.946.588,83 </w:t>
            </w:r>
          </w:p>
        </w:tc>
      </w:tr>
      <w:tr>
        <w:trPr>
          <w:trHeight w:hRule="exact" w:val="192"/>
        </w:trPr>
        <w:tc>
          <w:tcPr>
            <w:tcW w:type="dxa" w:w="6950"/>
            <w:gridSpan w:val="3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94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0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APURAÇÃO DO CUMPRIMENTO DO LIMITE LEGAL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VALOR </w:t>
            </w:r>
          </w:p>
        </w:tc>
      </w:tr>
      <w:tr>
        <w:trPr>
          <w:trHeight w:hRule="exact" w:val="194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RECEITA CORRENTE LÍQUIDA – RCL (V)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456.332.251,35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% da DESPESA TOTAL COM PESSOAL – DTP sobre a RCL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(VI) = (IV/V)*100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6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2,40 </w:t>
            </w:r>
          </w:p>
        </w:tc>
      </w:tr>
      <w:tr>
        <w:trPr>
          <w:trHeight w:hRule="exact" w:val="376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MÁXIMO (incisos I, II e III do art. 20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(6,0%)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6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27.379.935,08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PRUDENCIAL (parágrafo único art. 22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(5,7%)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68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26.010.938,33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DE ALERTA (inciso II do § 1º do art. 59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(5,4%)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68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24.641.941,57 </w:t>
            </w:r>
          </w:p>
        </w:tc>
      </w:tr>
    </w:tbl>
    <w:p>
      <w:pPr>
        <w:autoSpaceDN w:val="0"/>
        <w:autoSpaceDE w:val="0"/>
        <w:widowControl/>
        <w:spacing w:line="252" w:lineRule="auto" w:before="0" w:after="0"/>
        <w:ind w:left="1534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Fonte: Contabilidade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Nota: Os valores constantes deste demonstrativo foram apurados e publicados em conformidade com 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IN TCE 19/2016. </w:t>
      </w:r>
    </w:p>
    <w:p>
      <w:pPr>
        <w:autoSpaceDN w:val="0"/>
        <w:autoSpaceDE w:val="0"/>
        <w:widowControl/>
        <w:spacing w:line="252" w:lineRule="auto" w:before="0" w:after="0"/>
        <w:ind w:left="1534" w:right="1534" w:firstLine="0"/>
        <w:jc w:val="both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 Relatório de Gestão Fiscal do 1° Quadrimestre de 2017, encontra-se afixado no mural do 2° andar da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Câmara Municip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 xml:space="preserve">al, na rua Vale Machado, 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1415, a contar do dia 23 de maio de 2017, bem como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disponível no site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FF"/>
          <w:sz w:val="16"/>
          <w:u w:val="single"/>
        </w:rPr>
        <w:hyperlink r:id="rId9" w:history="1">
          <w:r>
            <w:rPr>
              <w:rStyle w:val="Hyperlink"/>
            </w:rPr>
            <w:t>www.camara-sm.rs.gov.br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>.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</w:p>
    <w:p>
      <w:pPr>
        <w:autoSpaceDN w:val="0"/>
        <w:autoSpaceDE w:val="0"/>
        <w:widowControl/>
        <w:spacing w:line="259" w:lineRule="auto" w:before="154" w:after="0"/>
        <w:ind w:left="1534" w:right="230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Admar Eugenio Pozzobom                                                             Giovani Costa de Oliveira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Presidente da CMVSM                                                                         CRC/RS 085370 </w:t>
      </w:r>
    </w:p>
    <w:sectPr w:rsidR="00FC693F" w:rsidRPr="0006063C" w:rsidSect="00034616">
      <w:pgSz w:w="11906" w:h="16841"/>
      <w:pgMar w:top="352" w:right="868" w:bottom="1440" w:left="119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amara-sm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