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366"/>
        </w:trPr>
        <w:tc>
          <w:tcPr>
            <w:tcW w:type="dxa" w:w="15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02" w:val="left"/>
              </w:tabs>
              <w:autoSpaceDE w:val="0"/>
              <w:widowControl/>
              <w:spacing w:line="356" w:lineRule="exact" w:before="30" w:after="0"/>
              <w:ind w:left="58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0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272" w:val="left"/>
          <w:tab w:pos="7582" w:val="left"/>
        </w:tabs>
        <w:autoSpaceDE w:val="0"/>
        <w:widowControl/>
        <w:spacing w:line="548" w:lineRule="exact" w:before="0" w:after="0"/>
        <w:ind w:left="50" w:right="1584" w:firstLine="0"/>
        <w:jc w:val="left"/>
      </w:pPr>
      <w:r>
        <w:rPr>
          <w:rFonts w:ascii="Arial,BoldItalic" w:hAnsi="Arial,BoldItalic" w:eastAsia="Arial,BoldItalic"/>
          <w:b/>
          <w:i/>
          <w:color w:val="000000"/>
          <w:sz w:val="20"/>
        </w:rPr>
        <w:t>JULHO/2017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17.596,55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2.137,35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300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1.596.667,01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2.137,80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rPr>
          <w:rFonts w:ascii="Calibri" w:hAnsi="Calibri" w:eastAsia="Calibri"/>
          <w:b w:val="0"/>
          <w:i w:val="0"/>
          <w:color w:val="000000"/>
          <w:sz w:val="22"/>
        </w:rPr>
        <w:t>286,88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rPr>
          <w:rFonts w:ascii="Calibri" w:hAnsi="Calibri" w:eastAsia="Calibri"/>
          <w:b w:val="0"/>
          <w:i w:val="0"/>
          <w:color w:val="000000"/>
          <w:sz w:val="22"/>
        </w:rPr>
        <w:t>922,50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rPr>
          <w:rFonts w:ascii="Calibri" w:hAnsi="Calibri" w:eastAsia="Calibri"/>
          <w:b w:val="0"/>
          <w:i w:val="0"/>
          <w:color w:val="000000"/>
          <w:sz w:val="22"/>
        </w:rPr>
        <w:t>317,40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1.230,00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5.078,76</w:t>
      </w:r>
    </w:p>
    <w:p>
      <w:pPr>
        <w:autoSpaceDN w:val="0"/>
        <w:autoSpaceDE w:val="0"/>
        <w:widowControl/>
        <w:spacing w:line="197" w:lineRule="auto" w:before="65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892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NELIS T. PACHECO DOS SANTOS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16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Técnica Legislativa - Área Contábil</w:t>
      </w:r>
    </w:p>
    <w:sectPr w:rsidR="00FC693F" w:rsidRPr="0006063C" w:rsidSect="00034616">
      <w:pgSz w:w="12240" w:h="15840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