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82"/>
        <w:ind w:left="0" w:right="0"/>
      </w:pPr>
    </w:p>
    <w:p>
      <w:pPr>
        <w:autoSpaceDN w:val="0"/>
        <w:autoSpaceDE w:val="0"/>
        <w:widowControl/>
        <w:spacing w:line="246" w:lineRule="exact" w:before="18" w:after="10"/>
        <w:ind w:left="1008" w:right="1296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 xml:space="preserve">MUNICÍPIO DE SANTA MARIA - PODER LEGISLATIVO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 xml:space="preserve">CÂMARA MUNICPAL DE VEREADORES DE SANTA MARIA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 xml:space="preserve">RELATÓRIO DE GESTÃO FISCAL </w:t>
      </w:r>
      <w:r>
        <w:br/>
      </w:r>
      <w:r>
        <w:rPr>
          <w:rFonts w:ascii="Times New Roman,Bold" w:hAnsi="Times New Roman,Bold" w:eastAsia="Times New Roman,Bold"/>
          <w:b/>
          <w:i w:val="0"/>
          <w:color w:val="000000"/>
          <w:sz w:val="20"/>
        </w:rPr>
        <w:t xml:space="preserve">DEMONSTRATIVO SIMPLIFICADO DO RELATÓRIO DE GESTÃO FISCAL </w:t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 xml:space="preserve">ORÇAMENTOS FISCAL E DA SEGURIDADE SOCIAL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PERÍODO: JANEIRO DE 2017 A DEZEMBRO DE 2017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972" w:type="dxa"/>
      </w:tblPr>
      <w:tblGrid>
        <w:gridCol w:w="4666"/>
        <w:gridCol w:w="4666"/>
      </w:tblGrid>
      <w:tr>
        <w:trPr>
          <w:trHeight w:hRule="exact" w:val="6754"/>
        </w:trPr>
        <w:tc>
          <w:tcPr>
            <w:tcW w:type="dxa" w:w="4830"/>
            <w:tcBorders>
              <w:end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2" w:after="0"/>
              <w:ind w:left="3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 LRF, art. 48 - Anexo 6</w:t>
            </w:r>
          </w:p>
        </w:tc>
        <w:tc>
          <w:tcPr>
            <w:tcW w:type="dxa" w:w="4310"/>
            <w:tcBorders>
              <w:start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2" w:after="0"/>
              <w:ind w:left="0" w:right="1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R$ 1,00</w:t>
            </w:r>
          </w:p>
        </w:tc>
      </w:tr>
    </w:tbl>
    <w:p>
      <w:pPr>
        <w:autoSpaceDN w:val="0"/>
        <w:autoSpaceDE w:val="0"/>
        <w:widowControl/>
        <w:spacing w:line="212" w:lineRule="exact" w:before="12" w:after="0"/>
        <w:ind w:left="4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FONTE:  contabilidade</w:t>
      </w:r>
    </w:p>
    <w:p>
      <w:pPr>
        <w:autoSpaceDN w:val="0"/>
        <w:autoSpaceDE w:val="0"/>
        <w:widowControl/>
        <w:spacing w:line="212" w:lineRule="exact" w:before="32" w:after="0"/>
        <w:ind w:left="4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Os valores constantes deste demonstrativo foram apurados e publicados em conformidade com a IN TCE/RS 12/2017.</w:t>
      </w:r>
    </w:p>
    <w:p>
      <w:pPr>
        <w:autoSpaceDN w:val="0"/>
        <w:tabs>
          <w:tab w:pos="4868" w:val="left"/>
        </w:tabs>
        <w:autoSpaceDE w:val="0"/>
        <w:widowControl/>
        <w:spacing w:line="212" w:lineRule="exact" w:before="160" w:after="0"/>
        <w:ind w:left="4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Alexandre Pinzon Vargas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Giovani Costa de Oliveira</w:t>
      </w:r>
    </w:p>
    <w:p>
      <w:pPr>
        <w:autoSpaceDN w:val="0"/>
        <w:tabs>
          <w:tab w:pos="4868" w:val="left"/>
        </w:tabs>
        <w:autoSpaceDE w:val="0"/>
        <w:widowControl/>
        <w:spacing w:line="210" w:lineRule="exact" w:before="34" w:after="0"/>
        <w:ind w:left="4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Presidente da CMVSM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Contador - CRC/RS 085370</w:t>
      </w:r>
    </w:p>
    <w:p>
      <w:pPr>
        <w:autoSpaceDN w:val="0"/>
        <w:tabs>
          <w:tab w:pos="4868" w:val="left"/>
        </w:tabs>
        <w:autoSpaceDE w:val="0"/>
        <w:widowControl/>
        <w:spacing w:line="212" w:lineRule="exact" w:before="34" w:after="0"/>
        <w:ind w:left="4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CPF 772.103.950-91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CPF 951.957.260-00</w:t>
      </w:r>
    </w:p>
    <w:sectPr w:rsidR="00FC693F" w:rsidRPr="0006063C" w:rsidSect="00034616">
      <w:pgSz w:w="11904" w:h="16836"/>
      <w:pgMar w:top="702" w:right="1440" w:bottom="1440" w:left="113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